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3A0EE1" w:rsidRPr="005A0A80" w:rsidP="005A0A80">
      <w:pPr>
        <w:pStyle w:val="PlainText"/>
        <w:jc w:val="center"/>
        <w:rPr>
          <w:rFonts w:asciiTheme="majorHAnsi" w:hAnsiTheme="majorHAnsi" w:cstheme="majorHAnsi"/>
          <w:b/>
          <w:sz w:val="28"/>
          <w:szCs w:val="28"/>
        </w:rPr>
      </w:pPr>
      <w:r w:rsidRPr="005A0A80">
        <w:rPr>
          <w:rFonts w:asciiTheme="majorHAnsi" w:hAnsiTheme="majorHAnsi" w:cstheme="majorHAnsi"/>
          <w:b/>
          <w:sz w:val="28"/>
          <w:szCs w:val="28"/>
        </w:rPr>
        <w:t xml:space="preserve">WellSpan Health </w:t>
      </w:r>
      <w:r w:rsidRPr="005A0A80">
        <w:rPr>
          <w:rFonts w:asciiTheme="majorHAnsi" w:hAnsiTheme="majorHAnsi" w:cstheme="majorHAnsi"/>
          <w:b/>
          <w:sz w:val="28"/>
          <w:szCs w:val="28"/>
        </w:rPr>
        <w:t xml:space="preserve">~ </w:t>
      </w:r>
      <w:r w:rsidRPr="005A0A80">
        <w:rPr>
          <w:rFonts w:asciiTheme="majorHAnsi" w:hAnsiTheme="majorHAnsi" w:cstheme="majorHAnsi"/>
          <w:b/>
          <w:bCs/>
          <w:noProof/>
          <w:sz w:val="28"/>
          <w:szCs w:val="28"/>
        </w:rPr>
        <w:t>Virtually Hosted</w:t>
      </w:r>
    </w:p>
    <w:p w:rsidR="00C93419" w:rsidP="00C93419">
      <w:pPr>
        <w:spacing w:line="240" w:lineRule="auto"/>
        <w:jc w:val="center"/>
        <w:rPr>
          <w:rFonts w:asciiTheme="majorHAnsi" w:hAnsiTheme="majorHAnsi" w:cstheme="majorHAnsi"/>
          <w:b/>
          <w:noProof/>
          <w:color w:val="17365D" w:themeColor="text2" w:themeShade="BF"/>
          <w:sz w:val="28"/>
          <w:szCs w:val="28"/>
        </w:rPr>
      </w:pPr>
      <w:r w:rsidRPr="005A0A80">
        <w:rPr>
          <w:rFonts w:asciiTheme="majorHAnsi" w:hAnsiTheme="majorHAnsi" w:cstheme="majorHAnsi"/>
        </w:rPr>
        <w:br/>
      </w:r>
      <w:r w:rsidRPr="005A0A80" w:rsidR="007B0FAA">
        <w:rPr>
          <w:rFonts w:asciiTheme="majorHAnsi" w:hAnsiTheme="majorHAnsi" w:cstheme="majorHAnsi"/>
          <w:b/>
          <w:color w:val="31849B" w:themeColor="accent5" w:themeShade="BF"/>
          <w:sz w:val="28"/>
          <w:szCs w:val="28"/>
        </w:rPr>
        <w:br/>
      </w:r>
      <w:r w:rsidRPr="005A0A80" w:rsidR="00993B4D">
        <w:rPr>
          <w:rFonts w:asciiTheme="majorHAnsi" w:hAnsiTheme="majorHAnsi" w:cstheme="majorHAnsi"/>
          <w:b/>
          <w:noProof/>
          <w:color w:val="17365D" w:themeColor="text2" w:themeShade="BF"/>
          <w:sz w:val="28"/>
          <w:szCs w:val="28"/>
        </w:rPr>
        <w:t>WHSL GR</w:t>
      </w:r>
      <w:r w:rsidRPr="005A0A80" w:rsidR="00C77529">
        <w:rPr>
          <w:rFonts w:asciiTheme="majorHAnsi" w:hAnsiTheme="majorHAnsi" w:cstheme="majorHAnsi"/>
        </w:rPr>
        <w:t xml:space="preserve"> 2025: Revolutionizing Obesity Treatment: The Power of GLP-1 Receptor Agonist and Dual GLP-1 / GIP Receptor Agonists Therapies</w:t>
      </w:r>
    </w:p>
    <w:p w:rsidR="00993B4D" w:rsidRPr="005A0A80" w:rsidP="00C93419">
      <w:pPr>
        <w:spacing w:line="240" w:lineRule="auto"/>
        <w:jc w:val="center"/>
        <w:rPr>
          <w:rFonts w:asciiTheme="majorHAnsi" w:hAnsiTheme="majorHAnsi" w:cstheme="majorHAnsi"/>
          <w:noProof/>
          <w:sz w:val="28"/>
          <w:szCs w:val="28"/>
        </w:rPr>
      </w:pPr>
      <w:r w:rsidRPr="005A0A80">
        <w:rPr>
          <w:rFonts w:asciiTheme="majorHAnsi" w:hAnsiTheme="majorHAnsi" w:cstheme="majorHAnsi"/>
          <w:noProof/>
          <w:sz w:val="28"/>
          <w:szCs w:val="28"/>
        </w:rPr>
        <w:t>Virtually Hosted</w:t>
      </w:r>
      <w:r>
        <w:rPr>
          <w:rFonts w:asciiTheme="majorHAnsi" w:hAnsiTheme="majorHAnsi" w:cstheme="majorHAnsi"/>
          <w:noProof/>
          <w:sz w:val="28"/>
          <w:szCs w:val="28"/>
        </w:rPr>
        <w:t xml:space="preserve">, </w:t>
      </w:r>
      <w:r w:rsidRPr="005A0A80">
        <w:rPr>
          <w:rFonts w:asciiTheme="majorHAnsi" w:hAnsiTheme="majorHAnsi" w:cstheme="majorHAnsi"/>
          <w:noProof/>
          <w:sz w:val="28"/>
          <w:szCs w:val="28"/>
        </w:rPr>
        <w:t>3/13</w:t>
      </w:r>
      <w:r w:rsidRPr="005A0A80" w:rsidR="00C77529">
        <w:rPr>
          <w:rFonts w:asciiTheme="majorHAnsi" w:hAnsiTheme="majorHAnsi" w:cstheme="majorHAnsi"/>
        </w:rPr>
        <w:t>/2025 12:00:00 AM</w:t>
      </w:r>
    </w:p>
    <w:p w:rsidR="005A0A80" w:rsidRPr="005A0A80" w:rsidP="005A0A80">
      <w:pPr>
        <w:spacing w:line="240" w:lineRule="auto"/>
        <w:rPr>
          <w:rFonts w:asciiTheme="majorHAnsi" w:hAnsiTheme="majorHAnsi" w:cstheme="majorHAnsi"/>
          <w:sz w:val="24"/>
          <w:szCs w:val="24"/>
        </w:rPr>
      </w:pPr>
      <w:r w:rsidRPr="005A0A80">
        <w:rPr>
          <w:rFonts w:asciiTheme="majorHAnsi" w:hAnsiTheme="majorHAnsi" w:cstheme="majorHAnsi"/>
          <w:b/>
          <w:sz w:val="24"/>
          <w:szCs w:val="24"/>
        </w:rPr>
        <w:t>Faculty:</w:t>
      </w:r>
      <w:r w:rsidRPr="005A0A80">
        <w:rPr>
          <w:rFonts w:asciiTheme="majorHAnsi" w:hAnsiTheme="majorHAnsi" w:cstheme="majorHAnsi"/>
          <w:sz w:val="24"/>
          <w:szCs w:val="24"/>
        </w:rPr>
        <w:t xml:space="preserve"> </w:t>
      </w:r>
    </w:p>
    <w:p w:rsidR="005A0A80" w:rsidRPr="005A0A80" w:rsidP="005A0A80">
      <w:pPr>
        <w:spacing w:line="240" w:lineRule="auto"/>
        <w:ind w:firstLine="720"/>
        <w:rPr>
          <w:rFonts w:asciiTheme="majorHAnsi" w:hAnsiTheme="majorHAnsi" w:cstheme="majorHAnsi"/>
          <w:noProof/>
          <w:sz w:val="24"/>
          <w:szCs w:val="24"/>
        </w:rPr>
      </w:pPr>
      <w:r w:rsidRPr="005A0A80">
        <w:rPr>
          <w:rFonts w:asciiTheme="majorHAnsi" w:hAnsiTheme="majorHAnsi" w:cstheme="majorHAnsi"/>
          <w:noProof/>
          <w:sz w:val="24"/>
          <w:szCs w:val="24"/>
        </w:rPr>
        <w:t>Sara  Azam</w:t>
      </w:r>
      <w:r w:rsidRPr="005A0A80">
        <w:rPr>
          <w:rFonts w:asciiTheme="majorHAnsi" w:hAnsiTheme="majorHAnsi" w:cstheme="majorHAnsi"/>
        </w:rPr>
        <w:t>, MD</w:t>
      </w:r>
    </w:p>
    <w:p w:rsidR="005A0A80" w:rsidRPr="005A0A80" w:rsidP="005A0A80">
      <w:pPr>
        <w:spacing w:line="240" w:lineRule="auto"/>
        <w:ind w:firstLine="720"/>
        <w:rPr>
          <w:rFonts w:asciiTheme="majorHAnsi" w:hAnsiTheme="majorHAnsi" w:cstheme="majorHAnsi"/>
          <w:noProof/>
          <w:sz w:val="24"/>
          <w:szCs w:val="24"/>
        </w:rPr>
      </w:pPr>
    </w:p>
    <w:p w:rsidR="005A0A80" w:rsidP="006A623D">
      <w:pPr>
        <w:spacing w:line="240" w:lineRule="auto"/>
        <w:rPr>
          <w:rFonts w:asciiTheme="majorHAnsi" w:hAnsiTheme="majorHAnsi" w:cstheme="majorHAnsi"/>
          <w:sz w:val="24"/>
          <w:szCs w:val="24"/>
        </w:rPr>
      </w:pPr>
      <w:r w:rsidRPr="005A0A80">
        <w:rPr>
          <w:rFonts w:asciiTheme="majorHAnsi" w:hAnsiTheme="majorHAnsi" w:cstheme="majorHAnsi"/>
          <w:b/>
          <w:sz w:val="24"/>
          <w:szCs w:val="24"/>
        </w:rPr>
        <w:t>Program Goal:</w:t>
      </w:r>
      <w:r w:rsidRPr="005A0A80">
        <w:rPr>
          <w:rFonts w:asciiTheme="majorHAnsi" w:hAnsiTheme="majorHAnsi" w:cstheme="majorHAnsi"/>
          <w:sz w:val="24"/>
          <w:szCs w:val="24"/>
        </w:rPr>
        <w:t xml:space="preserve"> </w:t>
      </w:r>
    </w:p>
    <w:p w:rsidR="00C93419" w:rsidRPr="005A0A80" w:rsidP="00C93419">
      <w:pPr>
        <w:spacing w:line="240" w:lineRule="auto"/>
        <w:rPr>
          <w:rFonts w:asciiTheme="majorHAnsi" w:hAnsiTheme="majorHAnsi" w:cstheme="majorHAnsi"/>
          <w:sz w:val="24"/>
        </w:rPr>
      </w:pPr>
      <w:r w:rsidRPr="005A0A80">
        <w:rPr>
          <w:rFonts w:asciiTheme="majorHAnsi" w:hAnsiTheme="majorHAnsi" w:cstheme="majorHAnsi"/>
          <w:noProof/>
          <w:color w:val="000000" w:themeColor="text1"/>
          <w:sz w:val="24"/>
          <w:szCs w:val="24"/>
        </w:rPr>
        <w:t>Service lines</w:t>
      </w:r>
      <w:r w:rsidRPr="005A0A80">
        <w:rPr>
          <w:rFonts w:asciiTheme="majorHAnsi" w:hAnsiTheme="majorHAnsi" w:cstheme="majorHAnsi"/>
        </w:rPr>
        <w:t xml:space="preserve"> grand rounds is a quarterly CME program, providing service lines a platform to introduce their leadership, highlight specialty educational updates relevant to all (or most) physicians and providers, quality initiatives that may affect other service lines or be modeled by other service lines, and resources available within the service line that may be relevant to a broad audience.</w:t>
      </w:r>
    </w:p>
    <w:p w:rsidR="00C93419" w:rsidP="006A623D">
      <w:pPr>
        <w:spacing w:line="240" w:lineRule="auto"/>
        <w:rPr>
          <w:rFonts w:asciiTheme="majorHAnsi" w:hAnsiTheme="majorHAnsi" w:cstheme="majorHAnsi"/>
          <w:sz w:val="24"/>
          <w:szCs w:val="24"/>
        </w:rPr>
      </w:pPr>
    </w:p>
    <w:p w:rsidR="00C93419" w:rsidRPr="00C93419" w:rsidP="006A623D">
      <w:pPr>
        <w:spacing w:line="240" w:lineRule="auto"/>
        <w:rPr>
          <w:rFonts w:asciiTheme="majorHAnsi" w:hAnsiTheme="majorHAnsi" w:cstheme="majorHAnsi"/>
          <w:b/>
          <w:bCs/>
          <w:sz w:val="24"/>
          <w:szCs w:val="24"/>
        </w:rPr>
      </w:pPr>
      <w:r w:rsidRPr="00C93419">
        <w:rPr>
          <w:rFonts w:asciiTheme="majorHAnsi" w:hAnsiTheme="majorHAnsi" w:cstheme="majorHAnsi"/>
          <w:b/>
          <w:bCs/>
          <w:sz w:val="24"/>
          <w:szCs w:val="24"/>
        </w:rPr>
        <w:t>Learning Objectives:</w:t>
      </w:r>
    </w:p>
    <w:p w:rsidR="00993B4D" w:rsidP="005A0A80">
      <w:pPr>
        <w:spacing w:line="240" w:lineRule="auto"/>
        <w:ind w:firstLine="720"/>
        <w:rPr>
          <w:rFonts w:asciiTheme="majorHAnsi" w:hAnsiTheme="majorHAnsi" w:cstheme="majorHAnsi"/>
          <w:noProof/>
          <w:sz w:val="24"/>
          <w:szCs w:val="24"/>
        </w:rPr>
      </w:pPr>
      <w:r w:rsidRPr="005A0A80">
        <w:rPr>
          <w:rFonts w:asciiTheme="majorHAnsi" w:hAnsiTheme="majorHAnsi" w:cstheme="majorHAnsi"/>
          <w:noProof/>
          <w:sz w:val="24"/>
          <w:szCs w:val="24"/>
        </w:rPr>
        <w:t>1 Discuss</w:t>
      </w:r>
      <w:r w:rsidRPr="005A0A80">
        <w:rPr>
          <w:rFonts w:asciiTheme="majorHAnsi" w:hAnsiTheme="majorHAnsi" w:cstheme="majorHAnsi"/>
        </w:rPr>
        <w:t xml:space="preserve"> the role of incretin hormones in metabolic regulation and how GLP-1 receptor agonists (GLP-1RAs) and dual GLP-1/GIP receptor agonists impact obesity treatment.</w:t>
      </w:r>
    </w:p>
    <w:p w:rsidRPr="005A0A80" w:rsidP="005A0A80">
      <w:pPr>
        <w:spacing w:line="240" w:lineRule="auto"/>
        <w:ind w:firstLine="720"/>
        <w:rPr>
          <w:rFonts w:asciiTheme="majorHAnsi" w:hAnsiTheme="majorHAnsi" w:cstheme="majorHAnsi"/>
        </w:rPr>
      </w:pPr>
      <w:r w:rsidRPr="005A0A80">
        <w:rPr>
          <w:rFonts w:asciiTheme="majorHAnsi" w:hAnsiTheme="majorHAnsi" w:cstheme="majorHAnsi"/>
        </w:rPr>
        <w:t>2 Review the pharmacological mechanisms of GLP-1RAs and dual GLP-1/GIP receptor agonists, and compare their effects on metabolism, weight loss, and other metabolic parameters.</w:t>
      </w:r>
    </w:p>
    <w:p w:rsidRPr="005A0A80" w:rsidP="005A0A80">
      <w:pPr>
        <w:spacing w:line="240" w:lineRule="auto"/>
        <w:ind w:firstLine="720"/>
        <w:rPr>
          <w:rFonts w:asciiTheme="majorHAnsi" w:hAnsiTheme="majorHAnsi" w:cstheme="majorHAnsi"/>
        </w:rPr>
      </w:pPr>
      <w:r w:rsidRPr="005A0A80">
        <w:rPr>
          <w:rFonts w:asciiTheme="majorHAnsi" w:hAnsiTheme="majorHAnsi" w:cstheme="majorHAnsi"/>
        </w:rPr>
        <w:t>3 Identify the available GLP-1 receptor agonists and dual receptor agonists, including agents like semaglutide and tirzepatide, and understand dosing strategies, titration schedules, and routes of administration.</w:t>
      </w:r>
    </w:p>
    <w:p w:rsidRPr="005A0A80" w:rsidP="005A0A80">
      <w:pPr>
        <w:spacing w:line="240" w:lineRule="auto"/>
        <w:ind w:firstLine="720"/>
        <w:rPr>
          <w:rFonts w:asciiTheme="majorHAnsi" w:hAnsiTheme="majorHAnsi" w:cstheme="majorHAnsi"/>
        </w:rPr>
      </w:pPr>
      <w:r w:rsidRPr="005A0A80">
        <w:rPr>
          <w:rFonts w:asciiTheme="majorHAnsi" w:hAnsiTheme="majorHAnsi" w:cstheme="majorHAnsi"/>
        </w:rPr>
        <w:t>4 Determine the safety profile and side effects associated with GLP-1RAs and dual GLP-1/GIP receptor agonists, including common adverse effects and rare but serious concerns like pancreatitis and thyroid C-cell tumors.</w:t>
      </w:r>
    </w:p>
    <w:p w:rsidR="00993B4D" w:rsidP="005A0A80">
      <w:pPr>
        <w:spacing w:line="240" w:lineRule="auto"/>
        <w:ind w:firstLine="720"/>
        <w:rPr>
          <w:rFonts w:asciiTheme="majorHAnsi" w:hAnsiTheme="majorHAnsi" w:cstheme="majorHAnsi"/>
          <w:noProof/>
          <w:sz w:val="24"/>
          <w:szCs w:val="24"/>
        </w:rPr>
      </w:pPr>
      <w:r w:rsidRPr="005A0A80">
        <w:rPr>
          <w:rFonts w:asciiTheme="majorHAnsi" w:hAnsiTheme="majorHAnsi" w:cstheme="majorHAnsi"/>
        </w:rPr>
        <w:t>5 Identify ideal candidates for incretin-based therapies, taking into account contraindications, precautions, and special considerations for populations such as those with diabetes or cardiovascular disease.</w:t>
      </w:r>
    </w:p>
    <w:p w:rsidR="00C93419" w:rsidRPr="005A0A80" w:rsidP="005A0A80">
      <w:pPr>
        <w:spacing w:line="240" w:lineRule="auto"/>
        <w:ind w:firstLine="720"/>
        <w:rPr>
          <w:rFonts w:asciiTheme="majorHAnsi" w:hAnsiTheme="majorHAnsi" w:cstheme="majorHAnsi"/>
          <w:color w:val="000000" w:themeColor="text1"/>
          <w:sz w:val="24"/>
          <w:szCs w:val="24"/>
        </w:rPr>
      </w:pPr>
    </w:p>
    <w:p w:rsidR="009B1D3B" w:rsidP="00E05C67">
      <w:pPr>
        <w:ind w:right="1134"/>
        <w:rPr>
          <w:rFonts w:asciiTheme="majorHAnsi" w:hAnsiTheme="majorHAnsi" w:cstheme="majorHAnsi"/>
          <w:sz w:val="16"/>
          <w:szCs w:val="16"/>
        </w:rPr>
      </w:pPr>
    </w:p>
    <w:p w:rsidR="005A0A80" w:rsidP="00E05C67">
      <w:pPr>
        <w:ind w:right="1134"/>
        <w:rPr>
          <w:rFonts w:asciiTheme="majorHAnsi" w:hAnsiTheme="majorHAnsi" w:cstheme="majorHAnsi"/>
          <w:sz w:val="16"/>
          <w:szCs w:val="16"/>
        </w:rPr>
      </w:pPr>
    </w:p>
    <w:p w:rsidR="005A0A80" w:rsidRPr="005A0A80" w:rsidP="00E05C67">
      <w:pPr>
        <w:ind w:right="1134"/>
        <w:rPr>
          <w:rFonts w:asciiTheme="majorHAnsi" w:hAnsiTheme="majorHAnsi" w:cstheme="majorHAnsi"/>
          <w:sz w:val="16"/>
          <w:szCs w:val="16"/>
        </w:rPr>
      </w:pPr>
    </w:p>
    <w:p w:rsidR="009B1D3B" w:rsidRPr="005A0A80" w:rsidP="009B1D3B">
      <w:pPr>
        <w:ind w:right="1134"/>
        <w:rPr>
          <w:rFonts w:asciiTheme="majorHAnsi" w:hAnsiTheme="majorHAnsi" w:cstheme="majorHAnsi"/>
          <w:sz w:val="20"/>
          <w:szCs w:val="20"/>
        </w:rPr>
      </w:pPr>
      <w:r w:rsidRPr="005A0A80">
        <w:rPr>
          <w:rFonts w:asciiTheme="majorHAnsi" w:hAnsiTheme="majorHAnsi" w:cstheme="majorHAnsi"/>
          <w:sz w:val="20"/>
          <w:szCs w:val="20"/>
        </w:rPr>
        <w:t xml:space="preserve">“WellSpan Health is accredited by the Pennsylvania Medical Society to provide continuing </w:t>
      </w:r>
      <w:r w:rsidR="00170606">
        <w:rPr>
          <w:rFonts w:asciiTheme="majorHAnsi" w:hAnsiTheme="majorHAnsi" w:cstheme="majorHAnsi"/>
          <w:sz w:val="20"/>
          <w:szCs w:val="20"/>
        </w:rPr>
        <w:t>m</w:t>
      </w:r>
      <w:r w:rsidRPr="005A0A80">
        <w:rPr>
          <w:rFonts w:asciiTheme="majorHAnsi" w:hAnsiTheme="majorHAnsi" w:cstheme="majorHAnsi"/>
          <w:sz w:val="20"/>
          <w:szCs w:val="20"/>
        </w:rPr>
        <w:t xml:space="preserve">edical </w:t>
      </w:r>
      <w:r w:rsidR="00170606">
        <w:rPr>
          <w:rFonts w:asciiTheme="majorHAnsi" w:hAnsiTheme="majorHAnsi" w:cstheme="majorHAnsi"/>
          <w:sz w:val="20"/>
          <w:szCs w:val="20"/>
        </w:rPr>
        <w:t>e</w:t>
      </w:r>
      <w:r w:rsidRPr="005A0A80">
        <w:rPr>
          <w:rFonts w:asciiTheme="majorHAnsi" w:hAnsiTheme="majorHAnsi" w:cstheme="majorHAnsi"/>
          <w:sz w:val="20"/>
          <w:szCs w:val="20"/>
        </w:rPr>
        <w:t>ducation for physicians. WellSpan Health takes responsibility for content, quality and scientific integrity of its CME activity.”</w:t>
      </w:r>
    </w:p>
    <w:p w:rsidR="009B1D3B" w:rsidRPr="005A0A80" w:rsidP="009B1D3B">
      <w:pPr>
        <w:ind w:right="1134"/>
        <w:rPr>
          <w:rFonts w:asciiTheme="majorHAnsi" w:hAnsiTheme="majorHAnsi" w:cstheme="majorHAnsi"/>
          <w:sz w:val="20"/>
          <w:szCs w:val="20"/>
        </w:rPr>
      </w:pPr>
      <w:r w:rsidRPr="005A0A80">
        <w:rPr>
          <w:rFonts w:asciiTheme="majorHAnsi" w:hAnsiTheme="majorHAnsi" w:cstheme="majorHAnsi"/>
          <w:sz w:val="20"/>
          <w:szCs w:val="20"/>
        </w:rPr>
        <w:t xml:space="preserve">“WellSpan Health designates this </w:t>
      </w:r>
      <w:bookmarkStart w:id="0" w:name="_GoBack"/>
      <w:bookmarkEnd w:id="0"/>
      <w:r w:rsidRPr="005A0A80">
        <w:rPr>
          <w:rFonts w:asciiTheme="majorHAnsi" w:hAnsiTheme="majorHAnsi" w:cstheme="majorHAnsi"/>
          <w:sz w:val="20"/>
          <w:szCs w:val="20"/>
        </w:rPr>
        <w:t xml:space="preserve">for a maximum of </w:t>
      </w:r>
      <w:r w:rsidRPr="005A0A80">
        <w:rPr>
          <w:rFonts w:asciiTheme="majorHAnsi" w:hAnsiTheme="majorHAnsi" w:cstheme="majorHAnsi"/>
          <w:noProof/>
          <w:sz w:val="20"/>
          <w:szCs w:val="20"/>
        </w:rPr>
        <w:t>1.00</w:t>
      </w:r>
      <w:r w:rsidRPr="005A0A80">
        <w:rPr>
          <w:rFonts w:asciiTheme="majorHAnsi" w:hAnsiTheme="majorHAnsi" w:cstheme="majorHAnsi"/>
          <w:sz w:val="20"/>
          <w:szCs w:val="20"/>
        </w:rPr>
        <w:t xml:space="preserve"> </w:t>
      </w:r>
      <w:r w:rsidRPr="005A0A80">
        <w:rPr>
          <w:rFonts w:asciiTheme="majorHAnsi" w:hAnsiTheme="majorHAnsi" w:cstheme="majorHAnsi"/>
          <w:i/>
          <w:sz w:val="20"/>
          <w:szCs w:val="20"/>
        </w:rPr>
        <w:t>AMA PRA Category 1 Credit(s</w:t>
      </w:r>
      <w:r w:rsidRPr="005A0A80">
        <w:rPr>
          <w:rFonts w:asciiTheme="majorHAnsi" w:hAnsiTheme="majorHAnsi" w:cstheme="majorHAnsi"/>
          <w:sz w:val="20"/>
          <w:szCs w:val="20"/>
        </w:rPr>
        <w:t>)</w:t>
      </w:r>
      <w:r w:rsidRPr="005A0A80">
        <w:rPr>
          <w:rFonts w:asciiTheme="majorHAnsi" w:hAnsiTheme="majorHAnsi" w:cstheme="majorHAnsi"/>
          <w:sz w:val="20"/>
          <w:szCs w:val="20"/>
          <w:vertAlign w:val="superscript"/>
        </w:rPr>
        <w:t>TM</w:t>
      </w:r>
      <w:r w:rsidRPr="005A0A80">
        <w:rPr>
          <w:rFonts w:asciiTheme="majorHAnsi" w:hAnsiTheme="majorHAnsi" w:cstheme="majorHAnsi"/>
          <w:sz w:val="20"/>
          <w:szCs w:val="20"/>
        </w:rPr>
        <w:t>.  Physicians should claim only the credit commensurate with the extent of their participation in the activity.”</w:t>
      </w:r>
    </w:p>
    <w:p w:rsidR="00993B4D" w:rsidRPr="005A0A80" w:rsidP="005A0A80">
      <w:pPr>
        <w:ind w:right="1134"/>
        <w:rPr>
          <w:rFonts w:asciiTheme="majorHAnsi" w:hAnsiTheme="majorHAnsi" w:cstheme="majorHAnsi"/>
          <w:sz w:val="20"/>
          <w:szCs w:val="20"/>
        </w:rPr>
      </w:pPr>
      <w:r w:rsidRPr="005A0A80">
        <w:rPr>
          <w:rFonts w:asciiTheme="majorHAnsi" w:hAnsiTheme="majorHAnsi" w:cstheme="majorHAnsi"/>
          <w:sz w:val="20"/>
          <w:szCs w:val="20"/>
        </w:rPr>
        <w:t>“All faculty participating in continuing medical education programs sponsored by WellSpan Health are expected to disclose to the program audience whether they do or do not have any real or apparent conflict(s) of interest or other relationships related to the content of their presentation(s).”</w:t>
      </w:r>
    </w:p>
    <w:sectPr w:rsidSect="005A0A80">
      <w:pgSz w:w="12240" w:h="15840"/>
      <w:pgMar w:top="1080" w:right="1080"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Lucida Grande">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PlainText">
    <w:name w:val="Plain Text"/>
    <w:basedOn w:val="Normal"/>
    <w:link w:val="PlainTextChar"/>
    <w:uiPriority w:val="99"/>
    <w:rsid w:val="003A0EE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A0EE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Hawk, Lynn A</cp:lastModifiedBy>
  <cp:revision>3</cp:revision>
  <dcterms:created xsi:type="dcterms:W3CDTF">2020-12-15T19:35:00Z</dcterms:created>
  <dcterms:modified xsi:type="dcterms:W3CDTF">2020-12-15T20:41:00Z</dcterms:modified>
</cp:coreProperties>
</file>